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A" w:rsidRPr="00601DBA" w:rsidRDefault="00616F25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ГЕРОНТОЛОШКИ ЦЕНТАР БЕЧЕЈ</w:t>
      </w:r>
      <w:bookmarkStart w:id="3" w:name="_GoBack"/>
      <w:bookmarkEnd w:id="3"/>
    </w:p>
    <w:p w:rsidR="001F55F6" w:rsidRPr="001F55F6" w:rsidRDefault="00616F25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101981118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616F25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СИНЂЕЛИЋЕВА 140</w:t>
      </w:r>
    </w:p>
    <w:p w:rsidR="001F55F6" w:rsidRPr="001F55F6" w:rsidRDefault="00616F25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21220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БЕЧЕЈ</w:t>
      </w:r>
    </w:p>
    <w:bookmarkEnd w:id="1"/>
    <w:p w:rsidR="001F55F6" w:rsidRPr="001F55F6" w:rsidRDefault="00616F25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616F2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28.08.2025</w:t>
      </w:r>
    </w:p>
    <w:p w:rsidR="001F55F6" w:rsidRPr="001F55F6" w:rsidRDefault="00616F25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3/2025/О</w:t>
      </w:r>
    </w:p>
    <w:p w:rsidR="001F55F6" w:rsidRPr="00A9707B" w:rsidRDefault="00616F25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616F25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ДОДЕЛИ </w:t>
      </w:r>
      <w:r w:rsidRPr="001F55F6">
        <w:rPr>
          <w:rFonts w:cstheme="minorHAnsi"/>
          <w:b/>
          <w:sz w:val="32"/>
          <w:szCs w:val="32"/>
          <w:lang w:val="sr-Latn-BA"/>
        </w:rPr>
        <w:t>УГОВОРА</w:t>
      </w:r>
      <w:bookmarkEnd w:id="11"/>
    </w:p>
    <w:p w:rsidR="001F55F6" w:rsidRPr="001F55F6" w:rsidRDefault="00616F2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ГЕРОНТОЛОШКИ ЦЕНТАР БЕЧЕЈ</w:t>
      </w:r>
    </w:p>
    <w:p w:rsidR="001F55F6" w:rsidRPr="001F55F6" w:rsidRDefault="00616F2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3/2025</w:t>
      </w:r>
    </w:p>
    <w:p w:rsidR="001F55F6" w:rsidRPr="001F55F6" w:rsidRDefault="00616F25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Улепшавање животног простора – замена намештаја </w:t>
      </w:r>
    </w:p>
    <w:p w:rsidR="001F55F6" w:rsidRPr="001F55F6" w:rsidRDefault="00616F25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Ф02-0029509</w:t>
      </w:r>
    </w:p>
    <w:p w:rsidR="001F55F6" w:rsidRPr="001F55F6" w:rsidRDefault="00616F25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616F2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39100000</w:t>
      </w:r>
    </w:p>
    <w:p w:rsidR="001F55F6" w:rsidRPr="001F55F6" w:rsidRDefault="00616F25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 xml:space="preserve">Улепшавање животног простора – замена намештаја </w:t>
      </w:r>
    </w:p>
    <w:p w:rsidR="001F55F6" w:rsidRPr="00B84A8C" w:rsidRDefault="00616F25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11.500.000,00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616F25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857986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616F25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ОРТОПЕДИЈА МЦ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101992718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ЂОРЂА СТАНОЈЕВИЋА, 11 б, локал 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Београд (Нови Београд)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11070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616F2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11.498.800,00</w:t>
      </w:r>
    </w:p>
    <w:p w:rsidR="001F55F6" w:rsidRPr="00B84A8C" w:rsidRDefault="00616F25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13.798.560,00</w:t>
      </w:r>
    </w:p>
    <w:p w:rsidR="001F55F6" w:rsidRPr="00B84A8C" w:rsidRDefault="00616F25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857986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857986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57986">
        <w:trPr>
          <w:trHeight w:val="40"/>
        </w:trPr>
        <w:tc>
          <w:tcPr>
            <w:tcW w:w="15397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857986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Улепшавање животног простора – замена намештаја 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3/2025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3/2025/1, 06.08.2025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11.500.000,00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8579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39100000-Намештај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Улепшавање животног простора – замена намештаја 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857986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8579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Ф02-0029509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09.08.2025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28.08.2025 08:00:00</w:t>
                  </w:r>
                </w:p>
              </w:tc>
            </w:tr>
          </w:tbl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857986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 xml:space="preserve">Чланови </w:t>
                  </w:r>
                  <w:r>
                    <w:rPr>
                      <w:b/>
                      <w:color w:val="000000"/>
                      <w:sz w:val="24"/>
                      <w:szCs w:val="20"/>
                    </w:rPr>
                    <w:t>комисије за јавну набавку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Кристина Главарданов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Барат Атила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Каралић Биљана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Атила Силађи</w:t>
                  </w:r>
                </w:p>
              </w:tc>
            </w:tr>
          </w:tbl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857986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857986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857986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Улепшавање животног простора – замена намештаја </w:t>
                              </w:r>
                            </w:p>
                          </w:tc>
                        </w:tr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57986" w:rsidRDefault="008579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rPr>
          <w:trHeight w:val="56"/>
        </w:trPr>
        <w:tc>
          <w:tcPr>
            <w:tcW w:w="15397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57986" w:rsidRDefault="00616F25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857986" w:rsidRDefault="0085798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857986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85798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28.08.2025 08:00:00</w:t>
                  </w:r>
                </w:p>
              </w:tc>
            </w:tr>
            <w:tr w:rsidR="00857986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28.08.2025 08:00:06</w:t>
                  </w:r>
                </w:p>
              </w:tc>
            </w:tr>
            <w:tr w:rsidR="00857986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85798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57986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857986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ОРТОПЕДИЈА МЦ ДОО БЕОГРАД, ЂОРЂА СТАНОЈЕВИЋА, 11 б, локал 2,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15.8.2025. 14:59:30</w:t>
                              </w:r>
                            </w:p>
                          </w:tc>
                        </w:tr>
                      </w:tbl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57986" w:rsidRDefault="008579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rPr>
          <w:trHeight w:val="62"/>
        </w:trPr>
        <w:tc>
          <w:tcPr>
            <w:tcW w:w="15397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57986" w:rsidRDefault="00616F25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857986" w:rsidRDefault="00857986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85798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857986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857986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857986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30"/>
                          <w:gridCol w:w="1130"/>
                          <w:gridCol w:w="1122"/>
                          <w:gridCol w:w="1125"/>
                          <w:gridCol w:w="1124"/>
                        </w:tblGrid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8579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ОРТОПЕДИЈА МЦ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11498800.00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13798560.00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 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57986" w:rsidRDefault="008579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rPr>
          <w:trHeight w:val="50"/>
        </w:trPr>
        <w:tc>
          <w:tcPr>
            <w:tcW w:w="15392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857986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857986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857986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10"/>
                          <w:gridCol w:w="1130"/>
                          <w:gridCol w:w="1130"/>
                          <w:gridCol w:w="1122"/>
                          <w:gridCol w:w="1125"/>
                          <w:gridCol w:w="1123"/>
                        </w:tblGrid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8579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и начин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ОРТОПЕДИЈА МЦ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11498800.00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13798560.00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 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57986" w:rsidRDefault="008579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rPr>
          <w:trHeight w:val="48"/>
        </w:trPr>
        <w:tc>
          <w:tcPr>
            <w:tcW w:w="15392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857986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57986" w:rsidRDefault="00616F25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857986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857986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2816"/>
                          <w:gridCol w:w="2812"/>
                          <w:gridCol w:w="2143"/>
                          <w:gridCol w:w="2143"/>
                          <w:gridCol w:w="896"/>
                        </w:tblGrid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ОРТОПЕДИЈА МЦ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11.498.800,00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13.798.560,00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57986" w:rsidRDefault="008579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rPr>
          <w:trHeight w:val="14"/>
        </w:trPr>
        <w:tc>
          <w:tcPr>
            <w:tcW w:w="15392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857986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857986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857986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8579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857986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857986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57986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57986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2"/>
                          <w:gridCol w:w="1614"/>
                          <w:gridCol w:w="7303"/>
                          <w:gridCol w:w="1896"/>
                        </w:tblGrid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ОРТОПЕДИЈА МЦ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Цена понуде: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11.498.800,00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57986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57986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857986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57986" w:rsidRDefault="00616F25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једина понуда, прихватљива</w:t>
                              </w:r>
                            </w:p>
                          </w:tc>
                        </w:tr>
                      </w:tbl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857986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857986" w:rsidRDefault="00857986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857986" w:rsidRDefault="00857986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857986">
        <w:trPr>
          <w:trHeight w:val="523"/>
        </w:trPr>
        <w:tc>
          <w:tcPr>
            <w:tcW w:w="15392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857986" w:rsidRDefault="00857986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857986" w:rsidRDefault="00857986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85798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616F25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једина понуда, прихватљива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857986" w:rsidTr="006E13B1">
        <w:tc>
          <w:tcPr>
            <w:tcW w:w="10342" w:type="dxa"/>
          </w:tcPr>
          <w:p w:rsidR="006E13B1" w:rsidRPr="00F61EC9" w:rsidRDefault="00616F25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616F25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F25" w:rsidRDefault="00616F25">
      <w:pPr>
        <w:spacing w:before="0" w:after="0"/>
      </w:pPr>
      <w:r>
        <w:separator/>
      </w:r>
    </w:p>
  </w:endnote>
  <w:endnote w:type="continuationSeparator" w:id="0">
    <w:p w:rsidR="00616F25" w:rsidRDefault="00616F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616F25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F25" w:rsidRDefault="00616F25">
      <w:pPr>
        <w:spacing w:before="0" w:after="0"/>
      </w:pPr>
      <w:r>
        <w:separator/>
      </w:r>
    </w:p>
  </w:footnote>
  <w:footnote w:type="continuationSeparator" w:id="0">
    <w:p w:rsidR="00616F25" w:rsidRDefault="00616F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86" w:rsidRDefault="008579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16F25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57986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CF2DEA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D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EA"/>
    <w:rPr>
      <w:rFonts w:ascii="Tahoma" w:hAnsi="Tahoma" w:cs="Tahoma"/>
      <w:w w:val="8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DE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EA"/>
    <w:rPr>
      <w:rFonts w:ascii="Tahoma" w:hAnsi="Tahoma" w:cs="Tahoma"/>
      <w:w w:val="8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505</Words>
  <Characters>2885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Siladji</cp:lastModifiedBy>
  <cp:revision>2</cp:revision>
  <cp:lastPrinted>2025-08-28T06:26:00Z</cp:lastPrinted>
  <dcterms:created xsi:type="dcterms:W3CDTF">2025-08-28T06:27:00Z</dcterms:created>
  <dcterms:modified xsi:type="dcterms:W3CDTF">2025-08-28T06:27:00Z</dcterms:modified>
</cp:coreProperties>
</file>